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C7" w:rsidRDefault="00A67F02">
      <w:pPr>
        <w:pStyle w:val="4"/>
        <w:rPr>
          <w:rFonts w:ascii="ITCFranklinGothicW10-Bk 862339;" w:hAnsi="ITCFranklinGothicW10-Bk 862339;"/>
          <w:b w:val="0"/>
          <w:color w:val="2AC1A0"/>
        </w:rPr>
      </w:pPr>
      <w:bookmarkStart w:id="0" w:name="_GoBack"/>
      <w:bookmarkEnd w:id="0"/>
      <w:r>
        <w:rPr>
          <w:rFonts w:ascii="ITCFranklinGothicW10-Bk 862339;" w:hAnsi="ITCFranklinGothicW10-Bk 862339;"/>
          <w:b w:val="0"/>
          <w:color w:val="2AC1A0"/>
        </w:rPr>
        <w:t>УКАЗ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4"/>
        <w:spacing w:before="0" w:after="150" w:line="360" w:lineRule="auto"/>
        <w:ind w:left="2100" w:right="2100"/>
        <w:rPr>
          <w:rFonts w:ascii="ITCFranklinGothicW10-Bk 862339;" w:hAnsi="ITCFranklinGothicW10-Bk 862339;"/>
          <w:b w:val="0"/>
          <w:color w:val="2AC1A0"/>
        </w:rPr>
      </w:pPr>
      <w:r>
        <w:rPr>
          <w:rFonts w:ascii="ITCFranklinGothicW10-Bk 862339;" w:hAnsi="ITCFranklinGothicW10-Bk 862339;"/>
          <w:b w:val="0"/>
          <w:color w:val="2AC1A0"/>
        </w:rPr>
        <w:t>ПРЕЗИДЕНТА РОССИЙСКОЙ ФЕДЕРАЦИИ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4"/>
        <w:spacing w:before="0" w:after="150" w:line="360" w:lineRule="auto"/>
        <w:ind w:left="2100" w:right="2100"/>
        <w:rPr>
          <w:rFonts w:ascii="ITCFranklinGothicW10-Bk 862339;" w:hAnsi="ITCFranklinGothicW10-Bk 862339;"/>
          <w:b w:val="0"/>
          <w:color w:val="2AC1A0"/>
        </w:rPr>
      </w:pPr>
      <w:r>
        <w:rPr>
          <w:rFonts w:ascii="ITCFranklinGothicW10-Bk 862339;" w:hAnsi="ITCFranklinGothicW10-Bk 862339;"/>
          <w:b w:val="0"/>
          <w:color w:val="2AC1A0"/>
        </w:rPr>
        <w:t>Об утверждении общих принципов служебного поведения государственных служащих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4"/>
        <w:spacing w:before="0" w:after="150" w:line="360" w:lineRule="auto"/>
        <w:ind w:left="2100" w:right="2100"/>
        <w:rPr>
          <w:rFonts w:ascii="ITCFranklinGothicW10-Bk 862339;" w:hAnsi="ITCFranklinGothicW10-Bk 862339;"/>
          <w:b w:val="0"/>
          <w:color w:val="2AC1A0"/>
        </w:rPr>
      </w:pPr>
      <w:r>
        <w:rPr>
          <w:rFonts w:ascii="ITCFranklinGothicW10-Bk 862339;" w:hAnsi="ITCFranklinGothicW10-Bk 862339;"/>
          <w:b w:val="0"/>
          <w:color w:val="2AC1A0"/>
        </w:rPr>
        <w:t>(В редакции указов Президента Российской Федерации от 20.03.2007 № 372, от 16.07.2009 № 814, от 25.08.2021 № 493)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 xml:space="preserve">В целях повышения </w:t>
      </w:r>
      <w:r>
        <w:rPr>
          <w:rFonts w:ascii="ITCFranklinGothicW10-Bk 862339;" w:hAnsi="ITCFranklinGothicW10-Bk 862339;"/>
          <w:color w:val="020C22"/>
          <w:sz w:val="26"/>
        </w:rPr>
        <w:t>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</w:t>
      </w:r>
      <w:r>
        <w:rPr>
          <w:rFonts w:ascii="ITCFranklinGothicW10-Bk 862339;" w:hAnsi="ITCFranklinGothicW10-Bk 862339;"/>
          <w:color w:val="020C22"/>
          <w:sz w:val="26"/>
        </w:rPr>
        <w:t>ючения злоупотреблений на федеральной государственной службе и государственной гражданской службе субъектов Российской Федерации постановляю: (В редакции Указа Президента Российской Федерации от 16.07.2009  № 814)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1. Утвердить прилагаемые общие принципы сл</w:t>
      </w:r>
      <w:r>
        <w:rPr>
          <w:rFonts w:ascii="ITCFranklinGothicW10-Bk 862339;" w:hAnsi="ITCFranklinGothicW10-Bk 862339;"/>
          <w:color w:val="020C22"/>
          <w:sz w:val="26"/>
        </w:rPr>
        <w:t>ужебного поведения государственных служащих.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</w:t>
      </w:r>
      <w:r>
        <w:rPr>
          <w:rFonts w:ascii="ITCFranklinGothicW10-Bk 862339;" w:hAnsi="ITCFranklinGothicW10-Bk 862339;"/>
          <w:color w:val="020C22"/>
          <w:sz w:val="26"/>
        </w:rPr>
        <w:t>ных настоящим Указом, в части, не противоречащей правовому статусу этих лиц.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3. Настоящий Указ вступает в силу со дня его официального опубликования.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lastRenderedPageBreak/>
        <w:t>Президент Российской Федерации                               </w:t>
      </w:r>
      <w:proofErr w:type="spellStart"/>
      <w:r>
        <w:rPr>
          <w:rFonts w:ascii="ITCFranklinGothicW10-Bk 862339;" w:hAnsi="ITCFranklinGothicW10-Bk 862339;"/>
          <w:color w:val="020C22"/>
          <w:sz w:val="26"/>
        </w:rPr>
        <w:t>В.Путин</w:t>
      </w:r>
      <w:proofErr w:type="spellEnd"/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Москва, Кремль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12 августа 2002 </w:t>
      </w:r>
      <w:r>
        <w:rPr>
          <w:rFonts w:ascii="ITCFranklinGothicW10-Bk 862339;" w:hAnsi="ITCFranklinGothicW10-Bk 862339;"/>
          <w:color w:val="020C22"/>
          <w:sz w:val="26"/>
        </w:rPr>
        <w:t>года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№ </w:t>
      </w:r>
      <w:r>
        <w:rPr>
          <w:rFonts w:ascii="ITCFranklinGothicW10-Bk 862339;" w:hAnsi="ITCFranklinGothicW10-Bk 862339;"/>
          <w:color w:val="020C22"/>
          <w:sz w:val="26"/>
        </w:rPr>
        <w:t>885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УТВЕРЖДЕНЫ Указом Президента Российской Федерации от 12 августа 2002 г. № 885 (в редакции Указа Президента Российской Федерации от 16 июля 2009 г. № 814)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4"/>
        <w:spacing w:before="0" w:after="150" w:line="360" w:lineRule="auto"/>
        <w:ind w:left="2100" w:right="2100"/>
        <w:rPr>
          <w:rFonts w:ascii="ITCFranklinGothicW10-Bk 862339;" w:hAnsi="ITCFranklinGothicW10-Bk 862339;"/>
          <w:b w:val="0"/>
          <w:color w:val="2AC1A0"/>
        </w:rPr>
      </w:pPr>
      <w:r>
        <w:rPr>
          <w:rFonts w:ascii="ITCFranklinGothicW10-Bk 862339;" w:hAnsi="ITCFranklinGothicW10-Bk 862339;"/>
          <w:b w:val="0"/>
          <w:color w:val="2AC1A0"/>
        </w:rPr>
        <w:t>ОБЩИЕ ПРИНЦИПЫ СЛУЖЕБНОГО ПОВЕДЕНИЯ ГОСУДАРСТВЕННЫХ СЛУЖАЩИХ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(В редакции Указа Презид</w:t>
      </w:r>
      <w:r>
        <w:rPr>
          <w:rFonts w:ascii="ITCFranklinGothicW10-Bk 862339;" w:hAnsi="ITCFranklinGothicW10-Bk 862339;"/>
          <w:color w:val="020C22"/>
          <w:sz w:val="26"/>
        </w:rPr>
        <w:t>ента Российской Федерации от 25.08.2021 № 493)</w:t>
      </w:r>
    </w:p>
    <w:p w:rsidR="003733C7" w:rsidRDefault="00A67F02">
      <w:pPr>
        <w:pStyle w:val="a1"/>
        <w:spacing w:after="435"/>
        <w:rPr>
          <w:color w:val="020C22"/>
        </w:rPr>
      </w:pPr>
      <w:r>
        <w:rPr>
          <w:color w:val="020C22"/>
        </w:rPr>
        <w:t> 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 xml:space="preserve"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- государственные служащие), </w:t>
      </w:r>
      <w:r>
        <w:rPr>
          <w:rFonts w:ascii="ITCFranklinGothicW10-Bk 862339;" w:hAnsi="ITCFranklinGothicW10-Bk 862339;"/>
          <w:color w:val="020C22"/>
          <w:sz w:val="26"/>
        </w:rPr>
        <w:t>которыми им надлежит руководствоваться при исполнении должностных обязанностей.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 xml:space="preserve">а) исполнять должностные обязанности добросовестно и на высоком </w:t>
      </w:r>
      <w:r>
        <w:rPr>
          <w:rFonts w:ascii="ITCFranklinGothicW10-Bk 862339;" w:hAnsi="ITCFranklinGothicW10-Bk 862339;"/>
          <w:color w:val="020C22"/>
          <w:sz w:val="26"/>
        </w:rPr>
        <w:t>профессиональном уровне в целях обеспечения эффективной работы государственных органов;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lastRenderedPageBreak/>
        <w:t xml:space="preserve"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</w:t>
      </w:r>
      <w:r>
        <w:rPr>
          <w:rFonts w:ascii="ITCFranklinGothicW10-Bk 862339;" w:hAnsi="ITCFranklinGothicW10-Bk 862339;"/>
          <w:color w:val="020C22"/>
          <w:sz w:val="26"/>
        </w:rPr>
        <w:t>власти и государственных служащих;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в) осуществлять свою деятельность в пределах полномочий соответствующего государственного органа;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г) не оказывать предпочтения каким-либо профессиональным или социальным группам и организациям, быть независимыми от влияни</w:t>
      </w:r>
      <w:r>
        <w:rPr>
          <w:rFonts w:ascii="ITCFranklinGothicW10-Bk 862339;" w:hAnsi="ITCFranklinGothicW10-Bk 862339;"/>
          <w:color w:val="020C22"/>
          <w:sz w:val="26"/>
        </w:rPr>
        <w:t>я отдельных граждан, профессиональных или социальных групп и организаций;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е) уве</w:t>
      </w:r>
      <w:r>
        <w:rPr>
          <w:rFonts w:ascii="ITCFranklinGothicW10-Bk 862339;" w:hAnsi="ITCFranklinGothicW10-Bk 862339;"/>
          <w:color w:val="020C22"/>
          <w:sz w:val="26"/>
        </w:rPr>
        <w:t>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 xml:space="preserve">ж) соблюдать </w:t>
      </w:r>
      <w:r>
        <w:rPr>
          <w:rFonts w:ascii="ITCFranklinGothicW10-Bk 862339;" w:hAnsi="ITCFranklinGothicW10-Bk 862339;"/>
          <w:color w:val="020C22"/>
          <w:sz w:val="26"/>
        </w:rPr>
        <w:t>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з) соблюдать нейтральность, исключающую возможность влияния на их служебную деятельность решений политических партий, иных об</w:t>
      </w:r>
      <w:r>
        <w:rPr>
          <w:rFonts w:ascii="ITCFranklinGothicW10-Bk 862339;" w:hAnsi="ITCFranklinGothicW10-Bk 862339;"/>
          <w:color w:val="020C22"/>
          <w:sz w:val="26"/>
        </w:rPr>
        <w:t>щественных объединений;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и) соблюдать нормы служебной, профессиональной этики и правила делового поведения;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к) проявлять корректность и внимательность в обращении с гражданами и должностными лицами;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л) проявлять терпимость и уважение к обычаям и традициям н</w:t>
      </w:r>
      <w:r>
        <w:rPr>
          <w:rFonts w:ascii="ITCFranklinGothicW10-Bk 862339;" w:hAnsi="ITCFranklinGothicW10-Bk 862339;"/>
          <w:color w:val="020C22"/>
          <w:sz w:val="26"/>
        </w:rPr>
        <w:t>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м) воздерживаться от поведения, которое могло бы вызвать сомнение в объективном испо</w:t>
      </w:r>
      <w:r>
        <w:rPr>
          <w:rFonts w:ascii="ITCFranklinGothicW10-Bk 862339;" w:hAnsi="ITCFranklinGothicW10-Bk 862339;"/>
          <w:color w:val="020C22"/>
          <w:sz w:val="26"/>
        </w:rPr>
        <w:t xml:space="preserve">лнении государственными служащими должностных обязанностей, а также </w:t>
      </w:r>
      <w:r>
        <w:rPr>
          <w:rFonts w:ascii="ITCFranklinGothicW10-Bk 862339;" w:hAnsi="ITCFranklinGothicW10-Bk 862339;"/>
          <w:color w:val="020C22"/>
          <w:sz w:val="26"/>
        </w:rPr>
        <w:lastRenderedPageBreak/>
        <w:t>избегать конфликтных ситуаций, способных нанести ущерб их репутации или авторитету государственного органа;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н) принимать предусмотренные законодательством Российской Федерации меры по недо</w:t>
      </w:r>
      <w:r>
        <w:rPr>
          <w:rFonts w:ascii="ITCFranklinGothicW10-Bk 862339;" w:hAnsi="ITCFranklinGothicW10-Bk 862339;"/>
          <w:color w:val="020C22"/>
          <w:sz w:val="26"/>
        </w:rPr>
        <w:t>пущению возникновения конфликтов интересов и урегулированию возникших конфликтов интересов;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</w:t>
      </w:r>
      <w:r>
        <w:rPr>
          <w:rFonts w:ascii="ITCFranklinGothicW10-Bk 862339;" w:hAnsi="ITCFranklinGothicW10-Bk 862339;"/>
          <w:color w:val="020C22"/>
          <w:sz w:val="26"/>
        </w:rPr>
        <w:t>н при решении вопросов личного характера;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р) соблюда</w:t>
      </w:r>
      <w:r>
        <w:rPr>
          <w:rFonts w:ascii="ITCFranklinGothicW10-Bk 862339;" w:hAnsi="ITCFranklinGothicW10-Bk 862339;"/>
          <w:color w:val="020C22"/>
          <w:sz w:val="26"/>
        </w:rPr>
        <w:t>ть установленные в государственном органе правила публичных выступлений и предоставления служебной информации;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 xml:space="preserve">с) уважительно относиться к деятельности представителей средств массовой информации по информированию общества о работе государственного органа, </w:t>
      </w:r>
      <w:r>
        <w:rPr>
          <w:rFonts w:ascii="ITCFranklinGothicW10-Bk 862339;" w:hAnsi="ITCFranklinGothicW10-Bk 862339;"/>
          <w:color w:val="020C22"/>
          <w:sz w:val="26"/>
        </w:rPr>
        <w:t>а также оказывать содействие в получении достоверной информации;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</w:t>
      </w:r>
      <w:r>
        <w:rPr>
          <w:rFonts w:ascii="ITCFranklinGothicW10-Bk 862339;" w:hAnsi="ITCFranklinGothicW10-Bk 862339;"/>
          <w:color w:val="020C22"/>
          <w:sz w:val="26"/>
        </w:rPr>
        <w:t xml:space="preserve">дерации товаров, работ, услуг и иных </w:t>
      </w:r>
      <w:proofErr w:type="gramStart"/>
      <w:r>
        <w:rPr>
          <w:rFonts w:ascii="ITCFranklinGothicW10-Bk 862339;" w:hAnsi="ITCFranklinGothicW10-Bk 862339;"/>
          <w:color w:val="020C22"/>
          <w:sz w:val="26"/>
        </w:rPr>
        <w:t>объектов</w:t>
      </w:r>
      <w:proofErr w:type="gramEnd"/>
      <w:r>
        <w:rPr>
          <w:rFonts w:ascii="ITCFranklinGothicW10-Bk 862339;" w:hAnsi="ITCFranklinGothicW10-Bk 862339;"/>
          <w:color w:val="020C22"/>
          <w:sz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</w:t>
      </w:r>
      <w:r>
        <w:rPr>
          <w:rFonts w:ascii="ITCFranklinGothicW10-Bk 862339;" w:hAnsi="ITCFranklinGothicW10-Bk 862339;"/>
          <w:color w:val="020C22"/>
          <w:sz w:val="26"/>
        </w:rPr>
        <w:t>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3. Государственны</w:t>
      </w:r>
      <w:r>
        <w:rPr>
          <w:rFonts w:ascii="ITCFranklinGothicW10-Bk 862339;" w:hAnsi="ITCFranklinGothicW10-Bk 862339;"/>
          <w:color w:val="020C22"/>
          <w:sz w:val="26"/>
        </w:rPr>
        <w:t>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а) принимать меры по предотвращению и урегулированию конфликтов интересов;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б) принимать меры по предупреждению коррупции;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lastRenderedPageBreak/>
        <w:t>в</w:t>
      </w:r>
      <w:r>
        <w:rPr>
          <w:rFonts w:ascii="ITCFranklinGothicW10-Bk 862339;" w:hAnsi="ITCFranklinGothicW10-Bk 862339;"/>
          <w:color w:val="020C22"/>
          <w:sz w:val="26"/>
        </w:rPr>
        <w:t>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4. </w:t>
      </w:r>
      <w:proofErr w:type="gramStart"/>
      <w:r>
        <w:rPr>
          <w:rFonts w:ascii="ITCFranklinGothicW10-Bk 862339;" w:hAnsi="ITCFranklinGothicW10-Bk 862339;"/>
          <w:color w:val="020C22"/>
          <w:sz w:val="26"/>
        </w:rPr>
        <w:t>Государственные служащие, имеющие гражданство (подданство) иностранного государства, которое не прекращено по не зав</w:t>
      </w:r>
      <w:r>
        <w:rPr>
          <w:rFonts w:ascii="ITCFranklinGothicW10-Bk 862339;" w:hAnsi="ITCFranklinGothicW10-Bk 862339;"/>
          <w:color w:val="020C22"/>
          <w:sz w:val="26"/>
        </w:rPr>
        <w:t>исящим от них причинам, замещающие должности в соответствии со статьей 26 Федерального закона от 30 апреля 2021 г. № 116-ФЗ "О внесении изменений в отдельные законодательные акты Российской Федерации", призваны:</w:t>
      </w:r>
      <w:proofErr w:type="gramEnd"/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а) принимать все возможные меры, направленны</w:t>
      </w:r>
      <w:r>
        <w:rPr>
          <w:rFonts w:ascii="ITCFranklinGothicW10-Bk 862339;" w:hAnsi="ITCFranklinGothicW10-Bk 862339;"/>
          <w:color w:val="020C22"/>
          <w:sz w:val="26"/>
        </w:rPr>
        <w:t>е на прекращение гражданства (подданства) иностранного государства;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</w:t>
      </w:r>
      <w:r>
        <w:rPr>
          <w:rFonts w:ascii="ITCFranklinGothicW10-Bk 862339;" w:hAnsi="ITCFranklinGothicW10-Bk 862339;"/>
          <w:color w:val="020C22"/>
          <w:sz w:val="26"/>
        </w:rPr>
        <w:t>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3733C7" w:rsidRDefault="00A67F02">
      <w:pPr>
        <w:pStyle w:val="a1"/>
        <w:spacing w:after="435"/>
        <w:rPr>
          <w:rFonts w:ascii="ITCFranklinGothicW10-Bk 862339;" w:hAnsi="ITCFranklinGothicW10-Bk 862339;"/>
          <w:color w:val="020C22"/>
          <w:sz w:val="26"/>
        </w:rPr>
      </w:pPr>
      <w:r>
        <w:rPr>
          <w:rFonts w:ascii="ITCFranklinGothicW10-Bk 862339;" w:hAnsi="ITCFranklinGothicW10-Bk 862339;"/>
          <w:color w:val="020C22"/>
          <w:sz w:val="26"/>
        </w:rPr>
        <w:t>(Дополнен пунктом - Указ Президента Российской Федерации от 25.08.2021 № 493)</w:t>
      </w:r>
    </w:p>
    <w:p w:rsidR="003733C7" w:rsidRDefault="00A67F02">
      <w:pPr>
        <w:pStyle w:val="a1"/>
      </w:pPr>
      <w:r>
        <w:br/>
      </w:r>
    </w:p>
    <w:sectPr w:rsidR="003733C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TCFranklinGothicW10-Bk 862339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3733C7"/>
    <w:rsid w:val="003733C7"/>
    <w:rsid w:val="00A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2023-08-31T05:34:00Z</dcterms:created>
  <dcterms:modified xsi:type="dcterms:W3CDTF">2023-08-31T05:34:00Z</dcterms:modified>
  <dc:language>ru-RU</dc:language>
</cp:coreProperties>
</file>